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4D888" w14:textId="77777777" w:rsidR="00FA343B" w:rsidRDefault="00974381">
      <w:pPr>
        <w:pStyle w:val="Title"/>
      </w:pPr>
      <w:r>
        <w:t>DARWIN-EU PX-CY-Z: Tables and Figures</w:t>
      </w:r>
    </w:p>
    <w:p w14:paraId="40638863" w14:textId="77777777" w:rsidR="00FA343B" w:rsidRDefault="00974381">
      <w:pPr>
        <w:pStyle w:val="Caption"/>
      </w:pPr>
      <w:r>
        <w:t>Table 1. Baseline population characteristics.</w:t>
      </w:r>
    </w:p>
    <w:tbl>
      <w:tblPr>
        <w:tblW w:w="5000" w:type="pct"/>
        <w:jc w:val="center"/>
        <w:tblLook w:val="0420" w:firstRow="1" w:lastRow="0" w:firstColumn="0" w:lastColumn="0" w:noHBand="0" w:noVBand="1"/>
      </w:tblPr>
      <w:tblGrid>
        <w:gridCol w:w="1351"/>
        <w:gridCol w:w="1091"/>
        <w:gridCol w:w="1146"/>
        <w:gridCol w:w="1816"/>
        <w:gridCol w:w="1816"/>
        <w:gridCol w:w="1816"/>
      </w:tblGrid>
      <w:tr w:rsidR="00FA343B" w14:paraId="3523DA18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5741389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Variable name</w:t>
            </w:r>
          </w:p>
        </w:tc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FFFFFF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11E49E3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Variable level</w:t>
            </w:r>
          </w:p>
        </w:tc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FFFFFF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205382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Estimate name</w:t>
            </w:r>
          </w:p>
        </w:tc>
        <w:tc>
          <w:tcPr>
            <w:tcW w:w="0" w:type="auto"/>
            <w:gridSpan w:val="3"/>
            <w:tcBorders>
              <w:top w:val="single" w:sz="4" w:space="0" w:color="003399"/>
              <w:left w:val="single" w:sz="4" w:space="0" w:color="FFFFFF"/>
              <w:bottom w:val="single" w:sz="4" w:space="0" w:color="FFFFFF"/>
              <w:right w:val="single" w:sz="4" w:space="0" w:color="003399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D47C380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jc w:val="center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Sex</w:t>
            </w:r>
          </w:p>
        </w:tc>
      </w:tr>
      <w:tr w:rsidR="00FA343B" w14:paraId="5C041000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B72A755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FFFFFF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88A2ED6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FFFFFF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833A21C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FDEC1E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FC1511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Male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003399"/>
              <w:right w:val="single" w:sz="4" w:space="0" w:color="003399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650FCEE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Female</w:t>
            </w:r>
          </w:p>
        </w:tc>
      </w:tr>
      <w:tr w:rsidR="00FA343B" w14:paraId="768E9307" w14:textId="77777777">
        <w:trPr>
          <w:jc w:val="center"/>
        </w:trPr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2E6AC2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Number records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6678AC6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D43744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FD13B16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2,564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8D48CA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1,262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D252F2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1,302</w:t>
            </w:r>
          </w:p>
        </w:tc>
      </w:tr>
      <w:tr w:rsidR="00FA343B" w14:paraId="2C00ABC5" w14:textId="77777777">
        <w:trPr>
          <w:jc w:val="center"/>
        </w:trPr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6AB65A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Number subjects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867D073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1B48D4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69C3A1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2,564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26DCD77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1,262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97015C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1,302</w:t>
            </w:r>
          </w:p>
        </w:tc>
      </w:tr>
      <w:tr w:rsidR="00FA343B" w14:paraId="631A2113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0CA5FB0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EC5A27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EF6FD5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Median [Q25 - Q75]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462807F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46 [36 - 56]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1E86C5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46 [37 - 56]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C9033A6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45 [36 - 55]</w:t>
            </w:r>
          </w:p>
        </w:tc>
      </w:tr>
      <w:tr w:rsidR="00FA343B" w14:paraId="2069FD0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C73B176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D6BFAB8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27E529D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Mean (SD)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3342EEC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47.54 (14.81)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3F8DE0F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47.57 (14.40)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D6BECD9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47.52 (15.21)</w:t>
            </w:r>
          </w:p>
        </w:tc>
      </w:tr>
      <w:tr w:rsidR="00FA343B" w14:paraId="069FF3F8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D1BBD5F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C3CAD38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ECE10A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26222FF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21 to 99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9E5774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21 to 98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31E25E1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21 to 99</w:t>
            </w:r>
          </w:p>
        </w:tc>
      </w:tr>
      <w:tr w:rsidR="00FA343B" w14:paraId="1A37A7BF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15F32A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Days in cohort</w:t>
            </w:r>
          </w:p>
        </w:tc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C272E6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62BD0F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Median [Q25 - Q75]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9FBE8A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3,654 [3,654 - 3,654]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018F123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3,654 [3,654 - 3,654]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7E7947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3,654 [3,654 - 3,654]</w:t>
            </w:r>
          </w:p>
        </w:tc>
      </w:tr>
      <w:tr w:rsidR="00FA343B" w14:paraId="280B08D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42B104B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31CF924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98EC97F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Mean (SD)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5D4EACD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3,594.61 (332.90)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4406FE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3,587.20 (341.22)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7119196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3,601.79 (324.60)</w:t>
            </w:r>
          </w:p>
        </w:tc>
      </w:tr>
      <w:tr w:rsidR="00FA343B" w14:paraId="21E010B1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A5E5E9E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160B6AE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64CFE8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2CDB8FE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17 to 3,654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93EBF57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449 to 3,654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73F48FF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17 to 3,654</w:t>
            </w:r>
          </w:p>
        </w:tc>
      </w:tr>
      <w:tr w:rsidR="00FA343B" w14:paraId="6841A71D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BED16A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Prior observation</w:t>
            </w:r>
          </w:p>
        </w:tc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18B52B9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8F14A51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Median [Q25 - Q75]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BBCC75C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16,834 [13,477 - 20,588]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4390EA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16,932 [13,636 - 20,634]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BF31A37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16,734 [13,320 - 20,410]</w:t>
            </w:r>
          </w:p>
        </w:tc>
      </w:tr>
      <w:tr w:rsidR="00FA343B" w14:paraId="4A3F3714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9B4FC8C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F4947BF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9524FC3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Mean (SD)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5CAE2E7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17,545.28 (5,406.72)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36F8373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17,555.07 (5,255.26)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81289D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17,535.78 (5,551.58)</w:t>
            </w:r>
          </w:p>
        </w:tc>
      </w:tr>
      <w:tr w:rsidR="00FA343B" w14:paraId="3FFC219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630CDA8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94EAC9A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A407279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57486B1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7,729 to 36,260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25FFC0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7,729 to 36,115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753AC0C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7,929 to 36,260</w:t>
            </w:r>
          </w:p>
        </w:tc>
      </w:tr>
      <w:tr w:rsidR="00FA343B" w14:paraId="542F5134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6A1D13C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Future observation</w:t>
            </w:r>
          </w:p>
        </w:tc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8E4BEC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A783CF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Median [Q25 - Q75]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1C8046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4,010 [3,891 - 4,117]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15CFAF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4,005 [3,878 - 4,116]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714CDFD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4,018 [3,900 - 4,118]</w:t>
            </w:r>
          </w:p>
        </w:tc>
      </w:tr>
      <w:tr w:rsidR="00FA343B" w14:paraId="72D98B41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64B201E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B1BEBC6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930F2B4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Mean (SD)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5DBD34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3,924.53 (418.47)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D446C29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3,910.98 (430.96)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4F62AED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3,937.65 (405.74)</w:t>
            </w:r>
          </w:p>
        </w:tc>
      </w:tr>
      <w:tr w:rsidR="00FA343B" w14:paraId="7A0B732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EC02F8E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DED26A3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DF02311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07E1393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16 to 4,201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FC1C46C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448 to 4,201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7992AC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16 to 4,199</w:t>
            </w:r>
          </w:p>
        </w:tc>
      </w:tr>
      <w:tr w:rsidR="00FA343B" w14:paraId="67AEDB80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44C9A79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Cohort start date</w:t>
            </w:r>
          </w:p>
        </w:tc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9CED393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E976A0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Median [Q25 - Q75]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1CC1851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2008-01-01 [2008-01-01 - 2008-01-01]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DCD99B1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2008-01-01 [2008-01-01 - 2008-01-01]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38DF2F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2008-01-01 [2008-01-01 - 2008-01-01]</w:t>
            </w:r>
          </w:p>
        </w:tc>
      </w:tr>
      <w:tr w:rsidR="00FA343B" w14:paraId="742647E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A279B50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C7E0F6D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B228764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6B0C30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2008-01-01 to 2008-01-01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6377449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2008-01-01 to 2008-01-01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874CE97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2008-01-01 to 2008-01-01</w:t>
            </w:r>
          </w:p>
        </w:tc>
      </w:tr>
      <w:tr w:rsidR="00FA343B" w14:paraId="0FD8CC6F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BA23D77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Cohort end date</w:t>
            </w:r>
          </w:p>
        </w:tc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A1CED80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2D0174C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Median [Q25 - Q75]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41AA99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2018-01-01 [2018-01-01 - 2018-01-01]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DE987D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2018-01-01 [2018-01-01 - 2018-01-01]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30CDF21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2018-01-01 [2018-01-01 - 2018-01-01]</w:t>
            </w:r>
          </w:p>
        </w:tc>
      </w:tr>
      <w:tr w:rsidR="00FA343B" w14:paraId="3B3F7E7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B2770D4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32038D4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630DF4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BF189F9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2008-01-17 to 2018-01-01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C46D943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2009-03-24 to 2018-01-01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5099254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2008-01-17 to 2018-01-01</w:t>
            </w:r>
          </w:p>
        </w:tc>
      </w:tr>
      <w:tr w:rsidR="00FA343B" w14:paraId="78F9A5FE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DE26FA6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Comedications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2E1E86E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Opioids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F9E957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 (%)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1D98180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49 (1.91%)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049E20C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22 (1.74%)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D7191F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27 (2.07%)</w:t>
            </w:r>
          </w:p>
        </w:tc>
      </w:tr>
      <w:tr w:rsidR="00FA343B" w14:paraId="19BD914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C61F3C4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4D16EA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Antidiabetes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18F15AC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 (%)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93F3E0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26 (1.01%)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A3B6483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15 (1.19%)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38BEAD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11 (0.84%)</w:t>
            </w:r>
          </w:p>
        </w:tc>
      </w:tr>
      <w:tr w:rsidR="00FA343B" w14:paraId="140B929D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87C043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lastRenderedPageBreak/>
              <w:t>Comorbidities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8BAE2F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Asthma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4A1D28E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 (%)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F176D99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1,234 (48.13%)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0D4628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611 (48.42%)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ED45D49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623 (47.85%)</w:t>
            </w:r>
          </w:p>
        </w:tc>
      </w:tr>
      <w:tr w:rsidR="00FA343B" w14:paraId="0CBFE6BA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B044364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D9A0934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Depression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95FDA5E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 (%)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D49371F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2,531 (98.71%)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CD4541D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1,246 (98.73%)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8ABAAB0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1,285 (98.69%)</w:t>
            </w:r>
          </w:p>
        </w:tc>
      </w:tr>
      <w:tr w:rsidR="00FA343B" w14:paraId="02AD6E58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903174E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6A1EBD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HIV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CE1958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N (%)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531867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475 (18.53%)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800BF86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230 (18.23%)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FC06347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245 (18.82%)</w:t>
            </w:r>
          </w:p>
        </w:tc>
      </w:tr>
    </w:tbl>
    <w:p w14:paraId="526EC763" w14:textId="77777777" w:rsidR="00FA343B" w:rsidRDefault="00974381">
      <w:pPr>
        <w:pStyle w:val="FigureFooter"/>
      </w:pPr>
      <w:r>
        <w:t>HIV: Human Immunodeficiency Virus.</w:t>
      </w:r>
    </w:p>
    <w:p w14:paraId="0DAC973C" w14:textId="77777777" w:rsidR="00FA343B" w:rsidRDefault="00974381">
      <w:pPr>
        <w:pStyle w:val="Caption"/>
      </w:pPr>
      <w:r>
        <w:t>Table 2. Measurement value change after intervention.</w:t>
      </w:r>
    </w:p>
    <w:tbl>
      <w:tblPr>
        <w:tblW w:w="5000" w:type="pct"/>
        <w:jc w:val="center"/>
        <w:tblLook w:val="0420" w:firstRow="1" w:lastRow="0" w:firstColumn="0" w:lastColumn="0" w:noHBand="0" w:noVBand="1"/>
      </w:tblPr>
      <w:tblGrid>
        <w:gridCol w:w="1519"/>
        <w:gridCol w:w="1832"/>
        <w:gridCol w:w="1895"/>
        <w:gridCol w:w="1895"/>
        <w:gridCol w:w="1895"/>
      </w:tblGrid>
      <w:tr w:rsidR="00FA343B" w14:paraId="4BB5D276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13295A4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Variable</w:t>
            </w:r>
          </w:p>
        </w:tc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FFFFFF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CA37AEF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Estimate</w:t>
            </w:r>
          </w:p>
        </w:tc>
        <w:tc>
          <w:tcPr>
            <w:tcW w:w="0" w:type="auto"/>
            <w:gridSpan w:val="3"/>
            <w:tcBorders>
              <w:top w:val="single" w:sz="4" w:space="0" w:color="003399"/>
              <w:left w:val="single" w:sz="4" w:space="0" w:color="FFFFFF"/>
              <w:bottom w:val="single" w:sz="4" w:space="0" w:color="FFFFFF"/>
              <w:right w:val="single" w:sz="4" w:space="0" w:color="003399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6B0122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jc w:val="center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Sex</w:t>
            </w:r>
          </w:p>
        </w:tc>
      </w:tr>
      <w:tr w:rsidR="00FA343B" w14:paraId="0114BA9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957E6B7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3399"/>
              <w:left w:val="single" w:sz="4" w:space="0" w:color="FFFFFF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C3AB8E5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3D40EC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003399"/>
              <w:right w:val="single" w:sz="4" w:space="0" w:color="FFFFFF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9486747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Male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003399"/>
              <w:right w:val="single" w:sz="4" w:space="0" w:color="003399"/>
            </w:tcBorders>
            <w:shd w:val="clear" w:color="auto" w:fill="003399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9AEC6FD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18"/>
                <w:szCs w:val="18"/>
              </w:rPr>
              <w:t>Female</w:t>
            </w:r>
          </w:p>
        </w:tc>
      </w:tr>
      <w:tr w:rsidR="00FA343B" w14:paraId="65D70D62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347152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Value before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903ABB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Median [Q25- Q75]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CDFB7C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60.00 [55.00, 77.25]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D9A2E2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65.00 [61.00, 80.00]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EE8D8EF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53.00 [48.00, 59.00]</w:t>
            </w:r>
          </w:p>
        </w:tc>
      </w:tr>
      <w:tr w:rsidR="00FA343B" w14:paraId="594C5EF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6294A29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90ECD66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7EABF56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24.00 to 117.00]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3BB14B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30.00 to 120.00]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B15AAF6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20.00 to 100.00]</w:t>
            </w:r>
          </w:p>
        </w:tc>
      </w:tr>
      <w:tr w:rsidR="00FA343B" w14:paraId="74F0385C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1E4A530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Value after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BA212C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Median [Q25- Q75]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3B65AAB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58.00 [55.00, 72.00]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5C122D1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66.00 [62.00, 79.00]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0D619DD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50.00 [47.00, 60.00]</w:t>
            </w:r>
          </w:p>
        </w:tc>
      </w:tr>
      <w:tr w:rsidR="00FA343B" w14:paraId="7D212589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EAF0EAB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CD289A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3F82CE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22.00 to 108.00]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2DF743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33.00 to 117.00]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179EA5F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19.00 to 100.00]</w:t>
            </w:r>
          </w:p>
        </w:tc>
      </w:tr>
      <w:tr w:rsidR="00FA343B" w14:paraId="556BA329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BA9EF9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Change in value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4159EA72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Median [Q25- Q75]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3183E8DD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-2.00 [0.00, -5.25]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C892AC5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1.00 [1.00, -1.00]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253AA22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-3.00 [-1.00, 1.00]</w:t>
            </w:r>
          </w:p>
        </w:tc>
      </w:tr>
      <w:tr w:rsidR="00FA343B" w14:paraId="4A2B442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1D5F3270" w14:textId="77777777" w:rsidR="00FA343B" w:rsidRDefault="00FA343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681EC4A8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Range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F6B564A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-2.00 to -9.00]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53DA5F59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3.00 to -3.00]</w:t>
            </w:r>
          </w:p>
        </w:tc>
        <w:tc>
          <w:tcPr>
            <w:tcW w:w="0" w:type="auto"/>
            <w:tcBorders>
              <w:top w:val="single" w:sz="4" w:space="0" w:color="003399"/>
              <w:left w:val="single" w:sz="4" w:space="0" w:color="003399"/>
              <w:bottom w:val="single" w:sz="4" w:space="0" w:color="003399"/>
              <w:right w:val="single" w:sz="4" w:space="0" w:color="003399"/>
            </w:tcBorders>
            <w:shd w:val="clear" w:color="auto" w:fill="FFFFFF"/>
            <w:tcMar>
              <w:top w:w="0" w:type="dxa"/>
              <w:left w:w="0" w:type="dxa"/>
              <w:bottom w:w="120" w:type="dxa"/>
              <w:right w:w="0" w:type="dxa"/>
            </w:tcMar>
            <w:vAlign w:val="center"/>
          </w:tcPr>
          <w:p w14:paraId="7B88CCF1" w14:textId="77777777" w:rsidR="00FA343B" w:rsidRDefault="009743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60" w:after="60" w:line="240" w:lineRule="auto"/>
              <w:ind w:left="60" w:righ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-1.00 to 0.00]</w:t>
            </w:r>
          </w:p>
        </w:tc>
      </w:tr>
    </w:tbl>
    <w:p w14:paraId="37A8A0F4" w14:textId="173607CC" w:rsidR="00FA343B" w:rsidRDefault="00FA343B"/>
    <w:sectPr w:rsidR="00FA34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3F8895D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2EF6528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10D"/>
    <w:rsid w:val="0003708F"/>
    <w:rsid w:val="00077430"/>
    <w:rsid w:val="000A665A"/>
    <w:rsid w:val="000B630B"/>
    <w:rsid w:val="000D39AE"/>
    <w:rsid w:val="001A538E"/>
    <w:rsid w:val="001E4F39"/>
    <w:rsid w:val="00401938"/>
    <w:rsid w:val="004970AE"/>
    <w:rsid w:val="004C7892"/>
    <w:rsid w:val="00581C74"/>
    <w:rsid w:val="005E447D"/>
    <w:rsid w:val="006046F7"/>
    <w:rsid w:val="006D5AAB"/>
    <w:rsid w:val="0072482A"/>
    <w:rsid w:val="00792B2E"/>
    <w:rsid w:val="0084310D"/>
    <w:rsid w:val="0096669D"/>
    <w:rsid w:val="00974381"/>
    <w:rsid w:val="00984E1E"/>
    <w:rsid w:val="00AD26F0"/>
    <w:rsid w:val="00AF55AD"/>
    <w:rsid w:val="00BC3DCB"/>
    <w:rsid w:val="00C73256"/>
    <w:rsid w:val="00D3345D"/>
    <w:rsid w:val="00EE101B"/>
    <w:rsid w:val="00FA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074A6"/>
  <w15:docId w15:val="{3D3624E9-4766-4818-A547-4C93CEF9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538E"/>
    <w:pPr>
      <w:outlineLvl w:val="0"/>
    </w:pPr>
    <w:rPr>
      <w:rFonts w:ascii="Calibri" w:hAnsi="Calibri" w:cs="Calibri"/>
      <w:b/>
      <w:bCs/>
      <w:smallCaps/>
      <w:color w:val="003399"/>
      <w:sz w:val="32"/>
      <w:szCs w:val="32"/>
      <w:shd w:val="clear" w:color="auto" w:fill="FFFFFF"/>
      <w:lang w:val="nl-B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538E"/>
    <w:pPr>
      <w:outlineLvl w:val="1"/>
    </w:pPr>
    <w:rPr>
      <w:rFonts w:ascii="Calibri" w:hAnsi="Calibri" w:cs="Calibri"/>
      <w:color w:val="003399"/>
      <w:sz w:val="28"/>
      <w:szCs w:val="28"/>
      <w:shd w:val="clear" w:color="auto" w:fill="FFFFFF"/>
      <w:lang w:val="nl-B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538E"/>
    <w:pPr>
      <w:outlineLvl w:val="2"/>
    </w:pPr>
    <w:rPr>
      <w:rFonts w:ascii="Calibri" w:hAnsi="Calibri" w:cs="Calibri"/>
      <w:color w:val="003597"/>
      <w:sz w:val="26"/>
      <w:szCs w:val="26"/>
      <w:shd w:val="clear" w:color="auto" w:fill="FFFFF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70AE"/>
    <w:pPr>
      <w:outlineLvl w:val="3"/>
    </w:pPr>
    <w:rPr>
      <w:color w:val="003399"/>
      <w:lang w:val="nl-BE"/>
    </w:rPr>
  </w:style>
  <w:style w:type="paragraph" w:styleId="Heading5">
    <w:name w:val="heading 5"/>
    <w:aliases w:val="caption"/>
    <w:basedOn w:val="Normal"/>
    <w:next w:val="Normal"/>
    <w:link w:val="Heading5Char"/>
    <w:uiPriority w:val="9"/>
    <w:semiHidden/>
    <w:unhideWhenUsed/>
    <w:qFormat/>
    <w:rsid w:val="008431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31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31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31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31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538E"/>
    <w:rPr>
      <w:rFonts w:ascii="Calibri" w:hAnsi="Calibri" w:cs="Calibri"/>
      <w:b/>
      <w:bCs/>
      <w:smallCaps/>
      <w:color w:val="003399"/>
      <w:sz w:val="32"/>
      <w:szCs w:val="32"/>
      <w:lang w:val="nl-BE"/>
    </w:rPr>
  </w:style>
  <w:style w:type="character" w:customStyle="1" w:styleId="Heading2Char">
    <w:name w:val="Heading 2 Char"/>
    <w:basedOn w:val="DefaultParagraphFont"/>
    <w:link w:val="Heading2"/>
    <w:uiPriority w:val="9"/>
    <w:rsid w:val="001A538E"/>
    <w:rPr>
      <w:rFonts w:ascii="Calibri" w:hAnsi="Calibri" w:cs="Calibri"/>
      <w:color w:val="003399"/>
      <w:sz w:val="28"/>
      <w:szCs w:val="28"/>
      <w:lang w:val="nl-BE"/>
    </w:rPr>
  </w:style>
  <w:style w:type="character" w:customStyle="1" w:styleId="Heading3Char">
    <w:name w:val="Heading 3 Char"/>
    <w:basedOn w:val="DefaultParagraphFont"/>
    <w:link w:val="Heading3"/>
    <w:uiPriority w:val="9"/>
    <w:rsid w:val="001A538E"/>
    <w:rPr>
      <w:rFonts w:ascii="Calibri" w:hAnsi="Calibri" w:cs="Calibri"/>
      <w:color w:val="003597"/>
      <w:sz w:val="26"/>
      <w:szCs w:val="26"/>
      <w:lang w:val="ca-ES"/>
    </w:rPr>
  </w:style>
  <w:style w:type="character" w:customStyle="1" w:styleId="Heading4Char">
    <w:name w:val="Heading 4 Char"/>
    <w:basedOn w:val="DefaultParagraphFont"/>
    <w:link w:val="Heading4"/>
    <w:uiPriority w:val="9"/>
    <w:rsid w:val="004970AE"/>
    <w:rPr>
      <w:color w:val="003399"/>
      <w:lang w:val="nl-BE"/>
    </w:rPr>
  </w:style>
  <w:style w:type="character" w:customStyle="1" w:styleId="Heading5Char">
    <w:name w:val="Heading 5 Char"/>
    <w:aliases w:val="caption Char"/>
    <w:basedOn w:val="DefaultParagraphFont"/>
    <w:link w:val="Heading5"/>
    <w:uiPriority w:val="9"/>
    <w:semiHidden/>
    <w:rsid w:val="0084310D"/>
    <w:rPr>
      <w:rFonts w:eastAsiaTheme="majorEastAsia" w:cstheme="majorBidi"/>
      <w:color w:val="2F5496" w:themeColor="accent1" w:themeShade="BF"/>
      <w:lang w:val="ca-E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310D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310D"/>
    <w:rPr>
      <w:rFonts w:eastAsiaTheme="majorEastAsia" w:cstheme="majorBidi"/>
      <w:color w:val="595959" w:themeColor="text1" w:themeTint="A6"/>
      <w:lang w:val="ca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310D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310D"/>
    <w:rPr>
      <w:rFonts w:eastAsiaTheme="majorEastAsia" w:cstheme="majorBidi"/>
      <w:color w:val="272727" w:themeColor="text1" w:themeTint="D8"/>
      <w:lang w:val="ca-ES"/>
    </w:rPr>
  </w:style>
  <w:style w:type="paragraph" w:styleId="Title">
    <w:name w:val="Title"/>
    <w:basedOn w:val="Normal"/>
    <w:next w:val="Normal"/>
    <w:link w:val="TitleChar"/>
    <w:uiPriority w:val="10"/>
    <w:qFormat/>
    <w:rsid w:val="00AF55AD"/>
    <w:pPr>
      <w:spacing w:after="80" w:line="240" w:lineRule="auto"/>
      <w:contextualSpacing/>
    </w:pPr>
    <w:rPr>
      <w:rFonts w:eastAsiaTheme="majorEastAsia" w:cstheme="minorHAnsi"/>
      <w:b/>
      <w:bCs/>
      <w:color w:val="003399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55AD"/>
    <w:rPr>
      <w:rFonts w:eastAsiaTheme="majorEastAsia" w:cstheme="minorHAnsi"/>
      <w:b/>
      <w:bCs/>
      <w:color w:val="003399"/>
      <w:spacing w:val="-10"/>
      <w:kern w:val="28"/>
      <w:sz w:val="56"/>
      <w:szCs w:val="56"/>
      <w:lang w:val="ca-E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31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310D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Quote">
    <w:name w:val="Quote"/>
    <w:basedOn w:val="Normal"/>
    <w:next w:val="Normal"/>
    <w:link w:val="QuoteChar"/>
    <w:uiPriority w:val="29"/>
    <w:qFormat/>
    <w:rsid w:val="008431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310D"/>
    <w:rPr>
      <w:i/>
      <w:iCs/>
      <w:color w:val="404040" w:themeColor="text1" w:themeTint="BF"/>
      <w:lang w:val="ca-ES"/>
    </w:rPr>
  </w:style>
  <w:style w:type="paragraph" w:styleId="ListParagraph">
    <w:name w:val="List Paragraph"/>
    <w:basedOn w:val="Normal"/>
    <w:uiPriority w:val="34"/>
    <w:qFormat/>
    <w:rsid w:val="008431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31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31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310D"/>
    <w:rPr>
      <w:i/>
      <w:iCs/>
      <w:color w:val="2F5496" w:themeColor="accent1" w:themeShade="BF"/>
      <w:lang w:val="ca-ES"/>
    </w:rPr>
  </w:style>
  <w:style w:type="character" w:styleId="IntenseReference">
    <w:name w:val="Intense Reference"/>
    <w:basedOn w:val="DefaultParagraphFont"/>
    <w:uiPriority w:val="32"/>
    <w:qFormat/>
    <w:rsid w:val="0084310D"/>
    <w:rPr>
      <w:b/>
      <w:bCs/>
      <w:smallCaps/>
      <w:color w:val="2F5496" w:themeColor="accent1" w:themeShade="BF"/>
      <w:spacing w:val="5"/>
    </w:rPr>
  </w:style>
  <w:style w:type="character" w:customStyle="1" w:styleId="normaltextrun">
    <w:name w:val="normaltextrun"/>
    <w:basedOn w:val="DefaultParagraphFont"/>
    <w:rsid w:val="001A538E"/>
  </w:style>
  <w:style w:type="character" w:customStyle="1" w:styleId="eop">
    <w:name w:val="eop"/>
    <w:basedOn w:val="DefaultParagraphFont"/>
    <w:rsid w:val="001A538E"/>
  </w:style>
  <w:style w:type="paragraph" w:customStyle="1" w:styleId="FigureFooter">
    <w:name w:val="FigureFooter"/>
    <w:basedOn w:val="Normal"/>
    <w:link w:val="FigureFooterChar"/>
    <w:qFormat/>
    <w:rsid w:val="004970AE"/>
    <w:rPr>
      <w:sz w:val="18"/>
      <w:szCs w:val="18"/>
      <w:lang w:val="nl-BE"/>
    </w:rPr>
  </w:style>
  <w:style w:type="character" w:customStyle="1" w:styleId="FigureFooterChar">
    <w:name w:val="FigureFooter Char"/>
    <w:basedOn w:val="DefaultParagraphFont"/>
    <w:link w:val="FigureFooter"/>
    <w:rsid w:val="004970AE"/>
    <w:rPr>
      <w:sz w:val="18"/>
      <w:szCs w:val="18"/>
      <w:lang w:val="nl-BE"/>
    </w:rPr>
  </w:style>
  <w:style w:type="table" w:styleId="TableGrid">
    <w:name w:val="Table Grid"/>
    <w:basedOn w:val="TableNormal"/>
    <w:uiPriority w:val="39"/>
    <w:rsid w:val="00497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Heading4"/>
    <w:next w:val="Normal"/>
    <w:link w:val="CaptionChar"/>
    <w:uiPriority w:val="35"/>
    <w:unhideWhenUsed/>
    <w:qFormat/>
    <w:rsid w:val="004970AE"/>
  </w:style>
  <w:style w:type="paragraph" w:customStyle="1" w:styleId="Captions">
    <w:name w:val="Captions"/>
    <w:basedOn w:val="Caption"/>
    <w:link w:val="CaptionsChar"/>
    <w:rsid w:val="00AD26F0"/>
    <w:pPr>
      <w:keepNext/>
    </w:pPr>
  </w:style>
  <w:style w:type="character" w:customStyle="1" w:styleId="CaptionChar">
    <w:name w:val="Caption Char"/>
    <w:basedOn w:val="Heading4Char"/>
    <w:link w:val="Caption"/>
    <w:uiPriority w:val="35"/>
    <w:rsid w:val="00AD26F0"/>
    <w:rPr>
      <w:color w:val="003399"/>
      <w:lang w:val="nl-BE"/>
    </w:rPr>
  </w:style>
  <w:style w:type="character" w:customStyle="1" w:styleId="CaptionsChar">
    <w:name w:val="Captions Char"/>
    <w:basedOn w:val="CaptionChar"/>
    <w:link w:val="Captions"/>
    <w:rsid w:val="00AD26F0"/>
    <w:rPr>
      <w:color w:val="003399"/>
      <w:lang w:val="nl-BE"/>
    </w:rPr>
  </w:style>
  <w:style w:type="paragraph" w:customStyle="1" w:styleId="Llegenda2">
    <w:name w:val="Llegenda2"/>
    <w:basedOn w:val="Captions"/>
    <w:link w:val="CaptionCar1"/>
    <w:qFormat/>
    <w:rsid w:val="00D3345D"/>
  </w:style>
  <w:style w:type="character" w:customStyle="1" w:styleId="CaptionCar1">
    <w:name w:val="Caption Car1"/>
    <w:basedOn w:val="CaptionsChar"/>
    <w:link w:val="Llegenda2"/>
    <w:rsid w:val="00D3345D"/>
    <w:rPr>
      <w:color w:val="003399"/>
      <w:lang w:val="nl-B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48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482A"/>
    <w:rPr>
      <w:sz w:val="20"/>
      <w:szCs w:val="20"/>
      <w:lang w:val="ca-ES"/>
    </w:rPr>
  </w:style>
  <w:style w:type="character" w:styleId="FootnoteReference">
    <w:name w:val="footnote reference"/>
    <w:basedOn w:val="DefaultParagraphFont"/>
    <w:uiPriority w:val="99"/>
    <w:semiHidden/>
    <w:unhideWhenUsed/>
    <w:rsid w:val="0072482A"/>
    <w:rPr>
      <w:vertAlign w:val="superscript"/>
    </w:rPr>
  </w:style>
  <w:style w:type="paragraph" w:customStyle="1" w:styleId="SourceCode">
    <w:name w:val="Source Code"/>
    <w:basedOn w:val="Normal"/>
    <w:pPr>
      <w:shd w:val="clear" w:color="auto" w:fill="F1F3F5"/>
      <w:wordWrap w:val="0"/>
    </w:pPr>
  </w:style>
  <w:style w:type="character" w:customStyle="1" w:styleId="KeywordTok">
    <w:name w:val="KeywordTok"/>
    <w:rPr>
      <w:b/>
      <w:color w:val="003B4F"/>
      <w:shd w:val="clear" w:color="auto" w:fill="F1F3F5"/>
    </w:rPr>
  </w:style>
  <w:style w:type="character" w:customStyle="1" w:styleId="DataTypeTok">
    <w:name w:val="DataTypeTok"/>
    <w:rPr>
      <w:color w:val="AD0000"/>
      <w:shd w:val="clear" w:color="auto" w:fill="F1F3F5"/>
    </w:rPr>
  </w:style>
  <w:style w:type="character" w:customStyle="1" w:styleId="DecValTok">
    <w:name w:val="DecValTok"/>
    <w:rPr>
      <w:color w:val="AD0000"/>
      <w:shd w:val="clear" w:color="auto" w:fill="F1F3F5"/>
    </w:rPr>
  </w:style>
  <w:style w:type="character" w:customStyle="1" w:styleId="BaseNTok">
    <w:name w:val="BaseNTok"/>
    <w:rPr>
      <w:color w:val="AD0000"/>
      <w:shd w:val="clear" w:color="auto" w:fill="F1F3F5"/>
    </w:rPr>
  </w:style>
  <w:style w:type="character" w:customStyle="1" w:styleId="FloatTok">
    <w:name w:val="FloatTok"/>
    <w:rPr>
      <w:color w:val="AD0000"/>
      <w:shd w:val="clear" w:color="auto" w:fill="F1F3F5"/>
    </w:rPr>
  </w:style>
  <w:style w:type="character" w:customStyle="1" w:styleId="ConstantTok">
    <w:name w:val="ConstantTok"/>
    <w:rPr>
      <w:color w:val="8F5902"/>
      <w:shd w:val="clear" w:color="auto" w:fill="F1F3F5"/>
    </w:rPr>
  </w:style>
  <w:style w:type="character" w:customStyle="1" w:styleId="CharTok">
    <w:name w:val="CharTok"/>
    <w:rPr>
      <w:color w:val="20794D"/>
      <w:shd w:val="clear" w:color="auto" w:fill="F1F3F5"/>
    </w:rPr>
  </w:style>
  <w:style w:type="character" w:customStyle="1" w:styleId="SpecialCharTok">
    <w:name w:val="SpecialCharTok"/>
    <w:rPr>
      <w:color w:val="5E5E5E"/>
      <w:shd w:val="clear" w:color="auto" w:fill="F1F3F5"/>
    </w:rPr>
  </w:style>
  <w:style w:type="character" w:customStyle="1" w:styleId="StringTok">
    <w:name w:val="StringTok"/>
    <w:rPr>
      <w:color w:val="20794D"/>
      <w:shd w:val="clear" w:color="auto" w:fill="F1F3F5"/>
    </w:rPr>
  </w:style>
  <w:style w:type="character" w:customStyle="1" w:styleId="VerbatimStringTok">
    <w:name w:val="VerbatimStringTok"/>
    <w:rPr>
      <w:color w:val="20794D"/>
      <w:shd w:val="clear" w:color="auto" w:fill="F1F3F5"/>
    </w:rPr>
  </w:style>
  <w:style w:type="character" w:customStyle="1" w:styleId="SpecialStringTok">
    <w:name w:val="SpecialStringTok"/>
    <w:rPr>
      <w:color w:val="20794D"/>
      <w:shd w:val="clear" w:color="auto" w:fill="F1F3F5"/>
    </w:rPr>
  </w:style>
  <w:style w:type="character" w:customStyle="1" w:styleId="ImportTok">
    <w:name w:val="ImportTok"/>
    <w:rPr>
      <w:color w:val="00769E"/>
      <w:shd w:val="clear" w:color="auto" w:fill="F1F3F5"/>
    </w:rPr>
  </w:style>
  <w:style w:type="character" w:customStyle="1" w:styleId="CommentTok">
    <w:name w:val="CommentTok"/>
    <w:rPr>
      <w:color w:val="5E5E5E"/>
      <w:shd w:val="clear" w:color="auto" w:fill="F1F3F5"/>
    </w:rPr>
  </w:style>
  <w:style w:type="character" w:customStyle="1" w:styleId="DocumentationTok">
    <w:name w:val="DocumentationTok"/>
    <w:rPr>
      <w:i/>
      <w:color w:val="5E5E5E"/>
      <w:shd w:val="clear" w:color="auto" w:fill="F1F3F5"/>
    </w:rPr>
  </w:style>
  <w:style w:type="character" w:customStyle="1" w:styleId="AnnotationTok">
    <w:name w:val="AnnotationTok"/>
    <w:rPr>
      <w:color w:val="5E5E5E"/>
      <w:shd w:val="clear" w:color="auto" w:fill="F1F3F5"/>
    </w:rPr>
  </w:style>
  <w:style w:type="character" w:customStyle="1" w:styleId="CommentVarTok">
    <w:name w:val="CommentVarTok"/>
    <w:rPr>
      <w:i/>
      <w:color w:val="5E5E5E"/>
      <w:shd w:val="clear" w:color="auto" w:fill="F1F3F5"/>
    </w:rPr>
  </w:style>
  <w:style w:type="character" w:customStyle="1" w:styleId="OtherTok">
    <w:name w:val="OtherTok"/>
    <w:rPr>
      <w:color w:val="003B4F"/>
      <w:shd w:val="clear" w:color="auto" w:fill="F1F3F5"/>
    </w:rPr>
  </w:style>
  <w:style w:type="character" w:customStyle="1" w:styleId="FunctionTok">
    <w:name w:val="FunctionTok"/>
    <w:rPr>
      <w:color w:val="4758AB"/>
      <w:shd w:val="clear" w:color="auto" w:fill="F1F3F5"/>
    </w:rPr>
  </w:style>
  <w:style w:type="character" w:customStyle="1" w:styleId="VariableTok">
    <w:name w:val="VariableTok"/>
    <w:rPr>
      <w:color w:val="111111"/>
      <w:shd w:val="clear" w:color="auto" w:fill="F1F3F5"/>
    </w:rPr>
  </w:style>
  <w:style w:type="character" w:customStyle="1" w:styleId="ControlFlowTok">
    <w:name w:val="ControlFlowTok"/>
    <w:rPr>
      <w:b/>
      <w:color w:val="003B4F"/>
      <w:shd w:val="clear" w:color="auto" w:fill="F1F3F5"/>
    </w:rPr>
  </w:style>
  <w:style w:type="character" w:customStyle="1" w:styleId="OperatorTok">
    <w:name w:val="OperatorTok"/>
    <w:rPr>
      <w:color w:val="5E5E5E"/>
      <w:shd w:val="clear" w:color="auto" w:fill="F1F3F5"/>
    </w:rPr>
  </w:style>
  <w:style w:type="character" w:customStyle="1" w:styleId="BuiltInTok">
    <w:name w:val="BuiltInTok"/>
    <w:rPr>
      <w:color w:val="003B4F"/>
      <w:shd w:val="clear" w:color="auto" w:fill="F1F3F5"/>
    </w:rPr>
  </w:style>
  <w:style w:type="character" w:customStyle="1" w:styleId="ExtensionTok">
    <w:name w:val="ExtensionTok"/>
    <w:rPr>
      <w:color w:val="003B4F"/>
      <w:shd w:val="clear" w:color="auto" w:fill="F1F3F5"/>
    </w:rPr>
  </w:style>
  <w:style w:type="character" w:customStyle="1" w:styleId="PreprocessorTok">
    <w:name w:val="PreprocessorTok"/>
    <w:rPr>
      <w:color w:val="AD0000"/>
      <w:shd w:val="clear" w:color="auto" w:fill="F1F3F5"/>
    </w:rPr>
  </w:style>
  <w:style w:type="character" w:customStyle="1" w:styleId="AttributeTok">
    <w:name w:val="AttributeTok"/>
    <w:rPr>
      <w:color w:val="657422"/>
      <w:shd w:val="clear" w:color="auto" w:fill="F1F3F5"/>
    </w:rPr>
  </w:style>
  <w:style w:type="character" w:customStyle="1" w:styleId="RegionMarkerTok">
    <w:name w:val="RegionMarkerTok"/>
    <w:rPr>
      <w:color w:val="003B4F"/>
      <w:shd w:val="clear" w:color="auto" w:fill="F1F3F5"/>
    </w:rPr>
  </w:style>
  <w:style w:type="character" w:customStyle="1" w:styleId="InformationTok">
    <w:name w:val="InformationTok"/>
    <w:rPr>
      <w:color w:val="5E5E5E"/>
      <w:shd w:val="clear" w:color="auto" w:fill="F1F3F5"/>
    </w:rPr>
  </w:style>
  <w:style w:type="character" w:customStyle="1" w:styleId="WarningTok">
    <w:name w:val="WarningTok"/>
    <w:rPr>
      <w:i/>
      <w:color w:val="5E5E5E"/>
      <w:shd w:val="clear" w:color="auto" w:fill="F1F3F5"/>
    </w:rPr>
  </w:style>
  <w:style w:type="character" w:customStyle="1" w:styleId="AlertTok">
    <w:name w:val="AlertTok"/>
    <w:rPr>
      <w:color w:val="AD0000"/>
      <w:shd w:val="clear" w:color="auto" w:fill="F1F3F5"/>
    </w:rPr>
  </w:style>
  <w:style w:type="character" w:customStyle="1" w:styleId="ErrorTok">
    <w:name w:val="ErrorTok"/>
    <w:rPr>
      <w:color w:val="AD0000"/>
      <w:shd w:val="clear" w:color="auto" w:fill="F1F3F5"/>
    </w:rPr>
  </w:style>
  <w:style w:type="character" w:customStyle="1" w:styleId="NormalTok">
    <w:name w:val="NormalTok"/>
    <w:rPr>
      <w:color w:val="003B4F"/>
      <w:shd w:val="clear" w:color="auto" w:fill="F1F3F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DARWIN-EU PX-CY-Z: Tables and Figures</dc:title>
  <dc:creator/>
  <cp:keywords/>
  <cp:lastModifiedBy>Nuria Mercade Besora</cp:lastModifiedBy>
  <cp:revision>2</cp:revision>
  <dcterms:created xsi:type="dcterms:W3CDTF">2026-04-10T15:16:00Z</dcterms:created>
  <dcterms:modified xsi:type="dcterms:W3CDTF">2026-04-10T15:16:00Z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blio-config">
    <vt:lpwstr>True</vt:lpwstr>
  </property>
  <property fmtid="{D5CDD505-2E9C-101B-9397-08002B2CF9AE}" pid="3" name="execute">
    <vt:lpwstr/>
  </property>
  <property fmtid="{D5CDD505-2E9C-101B-9397-08002B2CF9AE}" pid="4" name="fig-cap-location">
    <vt:lpwstr>top</vt:lpwstr>
  </property>
  <property fmtid="{D5CDD505-2E9C-101B-9397-08002B2CF9AE}" pid="5" name="header-includes">
    <vt:lpwstr/>
  </property>
  <property fmtid="{D5CDD505-2E9C-101B-9397-08002B2CF9AE}" pid="6" name="include-after">
    <vt:lpwstr/>
  </property>
  <property fmtid="{D5CDD505-2E9C-101B-9397-08002B2CF9AE}" pid="7" name="include-before">
    <vt:lpwstr/>
  </property>
  <property fmtid="{D5CDD505-2E9C-101B-9397-08002B2CF9AE}" pid="8" name="labels">
    <vt:lpwstr/>
  </property>
  <property fmtid="{D5CDD505-2E9C-101B-9397-08002B2CF9AE}" pid="9" name="toc-title">
    <vt:lpwstr>Table of contents</vt:lpwstr>
  </property>
</Properties>
</file>